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F9" w:rsidRPr="00F31FF9" w:rsidRDefault="00F31FF9" w:rsidP="00F31FF9">
      <w:pPr>
        <w:widowControl w:val="0"/>
        <w:autoSpaceDE w:val="0"/>
        <w:autoSpaceDN w:val="0"/>
        <w:adjustRightInd w:val="0"/>
        <w:snapToGrid w:val="0"/>
        <w:spacing w:after="0" w:line="240" w:lineRule="auto"/>
        <w:jc w:val="both"/>
        <w:rPr>
          <w:rFonts w:ascii="Times New Roman" w:hAnsi="Times New Roman"/>
          <w:b/>
          <w:color w:val="000000"/>
          <w:sz w:val="28"/>
          <w:szCs w:val="28"/>
        </w:rPr>
      </w:pPr>
      <w:r w:rsidRPr="00F31FF9">
        <w:rPr>
          <w:rFonts w:ascii="Times New Roman" w:hAnsi="Times New Roman"/>
          <w:b/>
          <w:color w:val="000000"/>
          <w:sz w:val="28"/>
          <w:szCs w:val="28"/>
        </w:rPr>
        <w:t>Ügyeleti szolgálat térítésköteles igénybevétele:</w:t>
      </w:r>
    </w:p>
    <w:p w:rsidR="00F31FF9" w:rsidRPr="00F31FF9" w:rsidRDefault="00F31FF9" w:rsidP="00F31FF9">
      <w:pPr>
        <w:widowControl w:val="0"/>
        <w:autoSpaceDE w:val="0"/>
        <w:autoSpaceDN w:val="0"/>
        <w:adjustRightInd w:val="0"/>
        <w:snapToGrid w:val="0"/>
        <w:spacing w:after="0" w:line="240" w:lineRule="auto"/>
        <w:jc w:val="both"/>
        <w:rPr>
          <w:rFonts w:ascii="Times New Roman" w:hAnsi="Times New Roman"/>
          <w:b/>
          <w:color w:val="000000"/>
          <w:sz w:val="28"/>
          <w:szCs w:val="28"/>
        </w:rPr>
      </w:pPr>
      <w:r w:rsidRPr="00F31FF9">
        <w:rPr>
          <w:rFonts w:ascii="Times New Roman" w:hAnsi="Times New Roman"/>
          <w:color w:val="000000"/>
          <w:sz w:val="28"/>
          <w:szCs w:val="28"/>
        </w:rPr>
        <w:t xml:space="preserve">A sürgős szükség körébe tartozó egészségügyi szolgáltatás minden olyan egészségügyi tevékenység, amelyet jelen szabályzat 1. sz. mellékletében meghatározott, az életet veszélyeztető állapotok és betegségek szakszerű ellátása, valamint azok maradandó egészségkárosító hatásának megelőzése érdekében - a beteg állapotának stabilizálásáig - végeznek. Az ezek körébe nem tartozó esetekben az ügyeleti szolgálat igénybe vétel </w:t>
      </w:r>
      <w:r w:rsidRPr="00F31FF9">
        <w:rPr>
          <w:rFonts w:ascii="Times New Roman" w:hAnsi="Times New Roman"/>
          <w:b/>
          <w:color w:val="000000"/>
          <w:sz w:val="28"/>
          <w:szCs w:val="28"/>
        </w:rPr>
        <w:t>kényelmi szolgáltatásnak</w:t>
      </w:r>
      <w:r w:rsidRPr="00F31FF9">
        <w:rPr>
          <w:rFonts w:ascii="Times New Roman" w:hAnsi="Times New Roman"/>
          <w:color w:val="000000"/>
          <w:sz w:val="28"/>
          <w:szCs w:val="28"/>
        </w:rPr>
        <w:t xml:space="preserve"> minősül, így </w:t>
      </w:r>
      <w:r w:rsidRPr="00F31FF9">
        <w:rPr>
          <w:rFonts w:ascii="Times New Roman" w:hAnsi="Times New Roman"/>
          <w:b/>
          <w:color w:val="000000"/>
          <w:sz w:val="28"/>
          <w:szCs w:val="28"/>
        </w:rPr>
        <w:t>térítésköteles</w:t>
      </w:r>
      <w:r w:rsidRPr="00F31FF9">
        <w:rPr>
          <w:rFonts w:ascii="Times New Roman" w:hAnsi="Times New Roman"/>
          <w:color w:val="000000"/>
          <w:sz w:val="28"/>
          <w:szCs w:val="28"/>
        </w:rPr>
        <w:t xml:space="preserve">en vehető igénybe, összege a kötelező ellátási területen belül </w:t>
      </w:r>
      <w:r w:rsidRPr="00F31FF9">
        <w:rPr>
          <w:rFonts w:ascii="Times New Roman" w:hAnsi="Times New Roman"/>
          <w:b/>
          <w:color w:val="000000"/>
          <w:sz w:val="28"/>
          <w:szCs w:val="28"/>
        </w:rPr>
        <w:t>2.000 Ft</w:t>
      </w:r>
      <w:r w:rsidRPr="00F31FF9">
        <w:rPr>
          <w:rFonts w:ascii="Times New Roman" w:hAnsi="Times New Roman"/>
          <w:color w:val="000000"/>
          <w:sz w:val="28"/>
          <w:szCs w:val="28"/>
        </w:rPr>
        <w:t xml:space="preserve">. Az ügyeleti szolgálat által ellátandó körzetben nem lakók részére: </w:t>
      </w:r>
      <w:r w:rsidRPr="00F31FF9">
        <w:rPr>
          <w:rFonts w:ascii="Times New Roman" w:hAnsi="Times New Roman"/>
          <w:b/>
          <w:color w:val="000000"/>
          <w:sz w:val="28"/>
          <w:szCs w:val="28"/>
        </w:rPr>
        <w:t>4.000 Ft</w:t>
      </w:r>
      <w:r w:rsidRPr="00F31FF9">
        <w:rPr>
          <w:rFonts w:ascii="Times New Roman" w:hAnsi="Times New Roman"/>
          <w:color w:val="000000"/>
          <w:sz w:val="28"/>
          <w:szCs w:val="28"/>
        </w:rPr>
        <w:t xml:space="preserve">, külföldieknek </w:t>
      </w:r>
      <w:r w:rsidRPr="00F31FF9">
        <w:rPr>
          <w:rFonts w:ascii="Times New Roman" w:hAnsi="Times New Roman"/>
          <w:b/>
          <w:color w:val="000000"/>
          <w:sz w:val="28"/>
          <w:szCs w:val="28"/>
        </w:rPr>
        <w:t>8.000 Ft.</w:t>
      </w:r>
    </w:p>
    <w:p w:rsidR="00F31FF9" w:rsidRPr="00F31FF9" w:rsidRDefault="00F31FF9" w:rsidP="00F31FF9">
      <w:pPr>
        <w:widowControl w:val="0"/>
        <w:autoSpaceDE w:val="0"/>
        <w:autoSpaceDN w:val="0"/>
        <w:adjustRightInd w:val="0"/>
        <w:snapToGrid w:val="0"/>
        <w:spacing w:after="0" w:line="240" w:lineRule="auto"/>
        <w:jc w:val="both"/>
        <w:rPr>
          <w:rFonts w:ascii="Times New Roman" w:hAnsi="Times New Roman"/>
          <w:sz w:val="28"/>
          <w:szCs w:val="28"/>
        </w:rPr>
      </w:pPr>
    </w:p>
    <w:p w:rsidR="00F31FF9" w:rsidRPr="00F31FF9" w:rsidRDefault="00F31FF9" w:rsidP="00F31FF9">
      <w:pPr>
        <w:widowControl w:val="0"/>
        <w:autoSpaceDE w:val="0"/>
        <w:autoSpaceDN w:val="0"/>
        <w:adjustRightInd w:val="0"/>
        <w:snapToGrid w:val="0"/>
        <w:spacing w:after="0" w:line="240" w:lineRule="auto"/>
        <w:jc w:val="both"/>
        <w:rPr>
          <w:rFonts w:ascii="Times New Roman" w:hAnsi="Times New Roman"/>
          <w:b/>
          <w:color w:val="000000"/>
          <w:sz w:val="28"/>
          <w:szCs w:val="28"/>
        </w:rPr>
      </w:pPr>
      <w:r w:rsidRPr="00F31FF9">
        <w:rPr>
          <w:rFonts w:ascii="Times New Roman" w:hAnsi="Times New Roman"/>
          <w:b/>
          <w:color w:val="000000"/>
          <w:sz w:val="28"/>
          <w:szCs w:val="28"/>
        </w:rPr>
        <w:t>Kiszállási díj indokolatlan hívás esetén:</w:t>
      </w:r>
    </w:p>
    <w:p w:rsidR="00F31FF9" w:rsidRPr="00F31FF9" w:rsidRDefault="00F31FF9" w:rsidP="00F31FF9">
      <w:pPr>
        <w:widowControl w:val="0"/>
        <w:autoSpaceDE w:val="0"/>
        <w:autoSpaceDN w:val="0"/>
        <w:adjustRightInd w:val="0"/>
        <w:snapToGrid w:val="0"/>
        <w:spacing w:after="0" w:line="240" w:lineRule="auto"/>
        <w:jc w:val="both"/>
        <w:rPr>
          <w:rFonts w:ascii="Times New Roman" w:hAnsi="Times New Roman"/>
          <w:b/>
          <w:color w:val="000000"/>
          <w:sz w:val="28"/>
          <w:szCs w:val="28"/>
        </w:rPr>
      </w:pPr>
      <w:r w:rsidRPr="00F31FF9">
        <w:rPr>
          <w:rFonts w:ascii="Times New Roman" w:hAnsi="Times New Roman"/>
          <w:color w:val="000000"/>
          <w:sz w:val="28"/>
          <w:szCs w:val="28"/>
        </w:rPr>
        <w:t xml:space="preserve">A biztosított állampolgárok abban az esetben jogosultak otthonukban orvosi ellátásra, amikor ezt súlyos egészségi állapotuk indokolja, és emiatt nem tudják </w:t>
      </w:r>
      <w:bookmarkStart w:id="0" w:name="_GoBack"/>
      <w:r w:rsidRPr="00F31FF9">
        <w:rPr>
          <w:rFonts w:ascii="Times New Roman" w:hAnsi="Times New Roman"/>
          <w:color w:val="000000"/>
          <w:sz w:val="28"/>
          <w:szCs w:val="28"/>
        </w:rPr>
        <w:t xml:space="preserve">felkeresni az ügyeleti rendelőt. Egyéb esetben ez </w:t>
      </w:r>
      <w:r w:rsidRPr="00F31FF9">
        <w:rPr>
          <w:rFonts w:ascii="Times New Roman" w:hAnsi="Times New Roman"/>
          <w:b/>
          <w:color w:val="000000"/>
          <w:sz w:val="28"/>
          <w:szCs w:val="28"/>
        </w:rPr>
        <w:t>kényelmi okból</w:t>
      </w:r>
      <w:r w:rsidRPr="00F31FF9">
        <w:rPr>
          <w:rFonts w:ascii="Times New Roman" w:hAnsi="Times New Roman"/>
          <w:color w:val="000000"/>
          <w:sz w:val="28"/>
          <w:szCs w:val="28"/>
        </w:rPr>
        <w:t xml:space="preserve"> igénybe vett </w:t>
      </w:r>
      <w:bookmarkEnd w:id="0"/>
      <w:r w:rsidRPr="00F31FF9">
        <w:rPr>
          <w:rFonts w:ascii="Times New Roman" w:hAnsi="Times New Roman"/>
          <w:color w:val="000000"/>
          <w:sz w:val="28"/>
          <w:szCs w:val="28"/>
        </w:rPr>
        <w:t xml:space="preserve">szolgáltatásnak minősül, így a beteg </w:t>
      </w:r>
      <w:r w:rsidRPr="00F31FF9">
        <w:rPr>
          <w:rFonts w:ascii="Times New Roman" w:hAnsi="Times New Roman"/>
          <w:b/>
          <w:color w:val="000000"/>
          <w:sz w:val="28"/>
          <w:szCs w:val="28"/>
        </w:rPr>
        <w:t>kiszállási díj</w:t>
      </w:r>
      <w:r w:rsidRPr="00F31FF9">
        <w:rPr>
          <w:rFonts w:ascii="Times New Roman" w:hAnsi="Times New Roman"/>
          <w:color w:val="000000"/>
          <w:sz w:val="28"/>
          <w:szCs w:val="28"/>
        </w:rPr>
        <w:t xml:space="preserve"> megfizetésére kötelezett. A szolgáltatás megkezdése előtt a szolgáltatást igénybevevő külön szóbeli tájékoztatást is kap a térítési díj fizetésének szabályairól. A szolgáltatás teljesítése után az ügyeletes orvos számlát állít ki, ami tartalmazza az igénybevett szolgáltatás megnevezését, valamint a szolgáltatás díját, melynek összege a kötelező ellátási területen belül </w:t>
      </w:r>
      <w:r w:rsidRPr="00F31FF9">
        <w:rPr>
          <w:rFonts w:ascii="Times New Roman" w:hAnsi="Times New Roman"/>
          <w:b/>
          <w:color w:val="000000"/>
          <w:sz w:val="28"/>
          <w:szCs w:val="28"/>
        </w:rPr>
        <w:t>3.000 Ft</w:t>
      </w:r>
      <w:r w:rsidRPr="00F31FF9">
        <w:rPr>
          <w:rFonts w:ascii="Times New Roman" w:hAnsi="Times New Roman"/>
          <w:color w:val="000000"/>
          <w:sz w:val="28"/>
          <w:szCs w:val="28"/>
        </w:rPr>
        <w:t xml:space="preserve">. Az ügyeleti szolgálat által ellátandó körzetben nem lakók részére: </w:t>
      </w:r>
      <w:r w:rsidRPr="00F31FF9">
        <w:rPr>
          <w:rFonts w:ascii="Times New Roman" w:hAnsi="Times New Roman"/>
          <w:b/>
          <w:color w:val="000000"/>
          <w:sz w:val="28"/>
          <w:szCs w:val="28"/>
        </w:rPr>
        <w:t>5.000 Ft</w:t>
      </w:r>
      <w:r w:rsidRPr="00F31FF9">
        <w:rPr>
          <w:rFonts w:ascii="Times New Roman" w:hAnsi="Times New Roman"/>
          <w:color w:val="000000"/>
          <w:sz w:val="28"/>
          <w:szCs w:val="28"/>
        </w:rPr>
        <w:t xml:space="preserve">, külföldieknek </w:t>
      </w:r>
      <w:r w:rsidRPr="00F31FF9">
        <w:rPr>
          <w:rFonts w:ascii="Times New Roman" w:hAnsi="Times New Roman"/>
          <w:b/>
          <w:color w:val="000000"/>
          <w:sz w:val="28"/>
          <w:szCs w:val="28"/>
        </w:rPr>
        <w:t>10.000 Ft.</w:t>
      </w:r>
    </w:p>
    <w:p w:rsidR="00F31FF9" w:rsidRPr="00F31FF9" w:rsidRDefault="00F31FF9" w:rsidP="00F31FF9">
      <w:pPr>
        <w:widowControl w:val="0"/>
        <w:autoSpaceDE w:val="0"/>
        <w:autoSpaceDN w:val="0"/>
        <w:adjustRightInd w:val="0"/>
        <w:snapToGrid w:val="0"/>
        <w:spacing w:after="0" w:line="240" w:lineRule="auto"/>
        <w:jc w:val="both"/>
        <w:rPr>
          <w:rFonts w:ascii="Times New Roman" w:hAnsi="Times New Roman"/>
          <w:color w:val="000000"/>
          <w:sz w:val="28"/>
          <w:szCs w:val="28"/>
        </w:rPr>
      </w:pPr>
      <w:r w:rsidRPr="00F31FF9">
        <w:rPr>
          <w:rFonts w:ascii="Times New Roman" w:hAnsi="Times New Roman"/>
          <w:color w:val="000000"/>
          <w:sz w:val="28"/>
          <w:szCs w:val="28"/>
        </w:rPr>
        <w:t>A hatósági szolgáltatás (látlelet, vérvétel), valamint az indokolatlan igénybevétel számlázása az ügyeletes orvos számlatömbjében történik. Ügyeleti időben csak újonnan szükségessé vált vagy életmentő gyógyszereket felírása lehetséges, kiemelt támogatású gyógyszer felírásra nincs lehetőség.</w:t>
      </w:r>
    </w:p>
    <w:p w:rsidR="00F31FF9" w:rsidRPr="00F31FF9" w:rsidRDefault="00F31FF9" w:rsidP="00F31FF9">
      <w:pPr>
        <w:widowControl w:val="0"/>
        <w:autoSpaceDE w:val="0"/>
        <w:autoSpaceDN w:val="0"/>
        <w:adjustRightInd w:val="0"/>
        <w:snapToGrid w:val="0"/>
        <w:spacing w:after="0" w:line="240" w:lineRule="auto"/>
        <w:jc w:val="both"/>
        <w:rPr>
          <w:rFonts w:ascii="Times New Roman" w:hAnsi="Times New Roman"/>
          <w:b/>
          <w:bCs/>
          <w:color w:val="000000" w:themeColor="text1"/>
          <w:sz w:val="28"/>
          <w:szCs w:val="28"/>
        </w:rPr>
      </w:pPr>
      <w:r w:rsidRPr="00F31FF9">
        <w:rPr>
          <w:rFonts w:ascii="Times New Roman" w:hAnsi="Times New Roman"/>
          <w:b/>
          <w:bCs/>
          <w:color w:val="000000" w:themeColor="text1"/>
          <w:sz w:val="28"/>
          <w:szCs w:val="28"/>
        </w:rPr>
        <w:t xml:space="preserve">A kötelező egészségbiztosítás ellátási keretébe nem tartozó egészségügyi szolgáltatások térítési díjai:  </w:t>
      </w:r>
    </w:p>
    <w:tbl>
      <w:tblPr>
        <w:tblW w:w="10632" w:type="dxa"/>
        <w:tblCellMar>
          <w:left w:w="0" w:type="dxa"/>
          <w:right w:w="0" w:type="dxa"/>
        </w:tblCellMar>
        <w:tblLook w:val="04A0" w:firstRow="1" w:lastRow="0" w:firstColumn="1" w:lastColumn="0" w:noHBand="0" w:noVBand="1"/>
      </w:tblPr>
      <w:tblGrid>
        <w:gridCol w:w="7712"/>
        <w:gridCol w:w="730"/>
        <w:gridCol w:w="730"/>
        <w:gridCol w:w="20"/>
        <w:gridCol w:w="1440"/>
      </w:tblGrid>
      <w:tr w:rsidR="00F31FF9" w:rsidRPr="00F31FF9" w:rsidTr="0084295E">
        <w:trPr>
          <w:trHeight w:val="326"/>
        </w:trPr>
        <w:tc>
          <w:tcPr>
            <w:tcW w:w="0" w:type="auto"/>
            <w:tcBorders>
              <w:top w:val="nil"/>
              <w:left w:val="nil"/>
              <w:bottom w:val="nil"/>
              <w:right w:val="nil"/>
            </w:tcBorders>
            <w:shd w:val="clear" w:color="auto" w:fill="FFFFFF"/>
            <w:vAlign w:val="bottom"/>
            <w:hideMark/>
          </w:tcPr>
          <w:p w:rsidR="00F31FF9" w:rsidRPr="00F31FF9" w:rsidRDefault="00F31FF9" w:rsidP="0084295E">
            <w:pPr>
              <w:spacing w:line="294" w:lineRule="atLeast"/>
              <w:rPr>
                <w:rFonts w:ascii="Times New Roman" w:hAnsi="Times New Roman"/>
                <w:color w:val="000000" w:themeColor="text1"/>
                <w:sz w:val="28"/>
                <w:szCs w:val="28"/>
              </w:rPr>
            </w:pPr>
            <w:r w:rsidRPr="00F31FF9">
              <w:rPr>
                <w:rFonts w:ascii="Times New Roman" w:hAnsi="Times New Roman"/>
                <w:color w:val="000000" w:themeColor="text1"/>
                <w:sz w:val="28"/>
                <w:szCs w:val="28"/>
              </w:rPr>
              <w:t xml:space="preserve">egészségpénztárak, üzleti biztosítók felkérésére, valamint jogászi megkeresésre adott szakvélemény </w:t>
            </w:r>
          </w:p>
        </w:tc>
        <w:tc>
          <w:tcPr>
            <w:tcW w:w="730" w:type="dxa"/>
            <w:tcBorders>
              <w:top w:val="nil"/>
              <w:left w:val="nil"/>
              <w:bottom w:val="nil"/>
              <w:right w:val="nil"/>
            </w:tcBorders>
            <w:shd w:val="clear" w:color="auto" w:fill="FFFFFF"/>
          </w:tcPr>
          <w:p w:rsidR="00F31FF9" w:rsidRPr="00F31FF9" w:rsidRDefault="00F31FF9" w:rsidP="0084295E">
            <w:pPr>
              <w:spacing w:line="294" w:lineRule="atLeast"/>
              <w:jc w:val="right"/>
              <w:rPr>
                <w:rFonts w:ascii="Times New Roman" w:hAnsi="Times New Roman"/>
                <w:b/>
                <w:color w:val="000000" w:themeColor="text1"/>
                <w:sz w:val="28"/>
                <w:szCs w:val="28"/>
              </w:rPr>
            </w:pPr>
          </w:p>
        </w:tc>
        <w:tc>
          <w:tcPr>
            <w:tcW w:w="730" w:type="dxa"/>
            <w:tcBorders>
              <w:top w:val="nil"/>
              <w:left w:val="nil"/>
              <w:bottom w:val="nil"/>
              <w:right w:val="nil"/>
            </w:tcBorders>
            <w:shd w:val="clear" w:color="auto" w:fill="FFFFFF"/>
          </w:tcPr>
          <w:p w:rsidR="00F31FF9" w:rsidRPr="00F31FF9" w:rsidRDefault="00F31FF9" w:rsidP="0084295E">
            <w:pPr>
              <w:spacing w:line="294" w:lineRule="atLeast"/>
              <w:jc w:val="right"/>
              <w:rPr>
                <w:rFonts w:ascii="Times New Roman" w:hAnsi="Times New Roman"/>
                <w:b/>
                <w:color w:val="000000" w:themeColor="text1"/>
                <w:sz w:val="28"/>
                <w:szCs w:val="28"/>
              </w:rPr>
            </w:pPr>
          </w:p>
        </w:tc>
        <w:tc>
          <w:tcPr>
            <w:tcW w:w="20" w:type="dxa"/>
            <w:tcBorders>
              <w:top w:val="nil"/>
              <w:left w:val="nil"/>
              <w:bottom w:val="nil"/>
              <w:right w:val="nil"/>
            </w:tcBorders>
            <w:shd w:val="clear" w:color="auto" w:fill="FFFFFF"/>
          </w:tcPr>
          <w:p w:rsidR="00F31FF9" w:rsidRPr="00F31FF9" w:rsidRDefault="00F31FF9" w:rsidP="0084295E">
            <w:pPr>
              <w:spacing w:line="294" w:lineRule="atLeast"/>
              <w:jc w:val="right"/>
              <w:rPr>
                <w:rFonts w:ascii="Times New Roman" w:hAnsi="Times New Roman"/>
                <w:b/>
                <w:color w:val="000000" w:themeColor="text1"/>
                <w:sz w:val="28"/>
                <w:szCs w:val="28"/>
              </w:rPr>
            </w:pPr>
          </w:p>
        </w:tc>
        <w:tc>
          <w:tcPr>
            <w:tcW w:w="1440" w:type="dxa"/>
            <w:tcBorders>
              <w:top w:val="nil"/>
              <w:left w:val="nil"/>
              <w:bottom w:val="nil"/>
              <w:right w:val="nil"/>
            </w:tcBorders>
            <w:shd w:val="clear" w:color="auto" w:fill="FFFFFF"/>
            <w:vAlign w:val="bottom"/>
            <w:hideMark/>
          </w:tcPr>
          <w:p w:rsidR="00F31FF9" w:rsidRPr="00F31FF9" w:rsidRDefault="00F31FF9" w:rsidP="0084295E">
            <w:pPr>
              <w:spacing w:line="294" w:lineRule="atLeast"/>
              <w:rPr>
                <w:rFonts w:ascii="Times New Roman" w:hAnsi="Times New Roman"/>
                <w:b/>
                <w:color w:val="000000" w:themeColor="text1"/>
                <w:sz w:val="28"/>
                <w:szCs w:val="28"/>
              </w:rPr>
            </w:pPr>
            <w:r w:rsidRPr="00F31FF9">
              <w:rPr>
                <w:rFonts w:ascii="Times New Roman" w:hAnsi="Times New Roman"/>
                <w:b/>
                <w:color w:val="000000" w:themeColor="text1"/>
                <w:sz w:val="28"/>
                <w:szCs w:val="28"/>
              </w:rPr>
              <w:t>8500 Ft</w:t>
            </w:r>
          </w:p>
        </w:tc>
      </w:tr>
      <w:tr w:rsidR="00F31FF9" w:rsidRPr="00F31FF9" w:rsidTr="0084295E">
        <w:trPr>
          <w:trHeight w:val="326"/>
        </w:trPr>
        <w:tc>
          <w:tcPr>
            <w:tcW w:w="0" w:type="auto"/>
            <w:tcBorders>
              <w:top w:val="nil"/>
              <w:left w:val="nil"/>
              <w:bottom w:val="nil"/>
              <w:right w:val="nil"/>
            </w:tcBorders>
            <w:shd w:val="clear" w:color="auto" w:fill="FFFFFF"/>
            <w:vAlign w:val="bottom"/>
            <w:hideMark/>
          </w:tcPr>
          <w:p w:rsidR="00F31FF9" w:rsidRPr="00F31FF9" w:rsidRDefault="00F31FF9" w:rsidP="0084295E">
            <w:pPr>
              <w:spacing w:line="294" w:lineRule="atLeast"/>
              <w:rPr>
                <w:rFonts w:ascii="Times New Roman" w:hAnsi="Times New Roman"/>
                <w:color w:val="000000" w:themeColor="text1"/>
                <w:sz w:val="28"/>
                <w:szCs w:val="28"/>
              </w:rPr>
            </w:pPr>
            <w:r w:rsidRPr="00F31FF9">
              <w:rPr>
                <w:rFonts w:ascii="Times New Roman" w:hAnsi="Times New Roman"/>
                <w:color w:val="000000" w:themeColor="text1"/>
                <w:sz w:val="28"/>
                <w:szCs w:val="28"/>
              </w:rPr>
              <w:t>szakvélemény, ill. igazolás adása bíróság, rendőrség számára, vagy a páciens kérésére</w:t>
            </w:r>
            <w:r w:rsidRPr="00F31FF9">
              <w:rPr>
                <w:rFonts w:ascii="Times New Roman" w:hAnsi="Times New Roman"/>
                <w:color w:val="000000" w:themeColor="text1"/>
                <w:sz w:val="28"/>
                <w:szCs w:val="28"/>
                <w:bdr w:val="none" w:sz="0" w:space="0" w:color="auto" w:frame="1"/>
              </w:rPr>
              <w:t> </w:t>
            </w:r>
          </w:p>
        </w:tc>
        <w:tc>
          <w:tcPr>
            <w:tcW w:w="730" w:type="dxa"/>
            <w:tcBorders>
              <w:top w:val="nil"/>
              <w:left w:val="nil"/>
              <w:bottom w:val="nil"/>
              <w:right w:val="nil"/>
            </w:tcBorders>
            <w:shd w:val="clear" w:color="auto" w:fill="FFFFFF"/>
          </w:tcPr>
          <w:p w:rsidR="00F31FF9" w:rsidRPr="00F31FF9" w:rsidRDefault="00F31FF9" w:rsidP="0084295E">
            <w:pPr>
              <w:spacing w:line="294" w:lineRule="atLeast"/>
              <w:jc w:val="right"/>
              <w:rPr>
                <w:rFonts w:ascii="Times New Roman" w:hAnsi="Times New Roman"/>
                <w:b/>
                <w:color w:val="000000" w:themeColor="text1"/>
                <w:sz w:val="28"/>
                <w:szCs w:val="28"/>
              </w:rPr>
            </w:pPr>
          </w:p>
        </w:tc>
        <w:tc>
          <w:tcPr>
            <w:tcW w:w="730" w:type="dxa"/>
            <w:tcBorders>
              <w:top w:val="nil"/>
              <w:left w:val="nil"/>
              <w:bottom w:val="nil"/>
              <w:right w:val="nil"/>
            </w:tcBorders>
            <w:shd w:val="clear" w:color="auto" w:fill="FFFFFF"/>
          </w:tcPr>
          <w:p w:rsidR="00F31FF9" w:rsidRPr="00F31FF9" w:rsidRDefault="00F31FF9" w:rsidP="0084295E">
            <w:pPr>
              <w:spacing w:line="294" w:lineRule="atLeast"/>
              <w:jc w:val="right"/>
              <w:rPr>
                <w:rFonts w:ascii="Times New Roman" w:hAnsi="Times New Roman"/>
                <w:b/>
                <w:color w:val="000000" w:themeColor="text1"/>
                <w:sz w:val="28"/>
                <w:szCs w:val="28"/>
              </w:rPr>
            </w:pPr>
          </w:p>
        </w:tc>
        <w:tc>
          <w:tcPr>
            <w:tcW w:w="20" w:type="dxa"/>
            <w:tcBorders>
              <w:top w:val="nil"/>
              <w:left w:val="nil"/>
              <w:bottom w:val="nil"/>
              <w:right w:val="nil"/>
            </w:tcBorders>
            <w:shd w:val="clear" w:color="auto" w:fill="FFFFFF"/>
          </w:tcPr>
          <w:p w:rsidR="00F31FF9" w:rsidRPr="00F31FF9" w:rsidRDefault="00F31FF9" w:rsidP="0084295E">
            <w:pPr>
              <w:spacing w:line="294" w:lineRule="atLeast"/>
              <w:jc w:val="right"/>
              <w:rPr>
                <w:rFonts w:ascii="Times New Roman" w:hAnsi="Times New Roman"/>
                <w:b/>
                <w:color w:val="000000" w:themeColor="text1"/>
                <w:sz w:val="28"/>
                <w:szCs w:val="28"/>
              </w:rPr>
            </w:pPr>
          </w:p>
        </w:tc>
        <w:tc>
          <w:tcPr>
            <w:tcW w:w="1440" w:type="dxa"/>
            <w:tcBorders>
              <w:top w:val="nil"/>
              <w:left w:val="nil"/>
              <w:bottom w:val="nil"/>
              <w:right w:val="nil"/>
            </w:tcBorders>
            <w:shd w:val="clear" w:color="auto" w:fill="FFFFFF"/>
            <w:vAlign w:val="bottom"/>
            <w:hideMark/>
          </w:tcPr>
          <w:p w:rsidR="00F31FF9" w:rsidRPr="00F31FF9" w:rsidRDefault="00F31FF9" w:rsidP="0084295E">
            <w:pPr>
              <w:spacing w:line="294" w:lineRule="atLeast"/>
              <w:rPr>
                <w:rFonts w:ascii="Times New Roman" w:hAnsi="Times New Roman"/>
                <w:b/>
                <w:color w:val="000000" w:themeColor="text1"/>
                <w:sz w:val="28"/>
                <w:szCs w:val="28"/>
              </w:rPr>
            </w:pPr>
            <w:r w:rsidRPr="00F31FF9">
              <w:rPr>
                <w:rFonts w:ascii="Times New Roman" w:hAnsi="Times New Roman"/>
                <w:b/>
                <w:color w:val="000000" w:themeColor="text1"/>
                <w:sz w:val="28"/>
                <w:szCs w:val="28"/>
              </w:rPr>
              <w:t>6000 Ft</w:t>
            </w:r>
          </w:p>
        </w:tc>
      </w:tr>
      <w:tr w:rsidR="00F31FF9" w:rsidRPr="00F31FF9" w:rsidTr="0084295E">
        <w:trPr>
          <w:trHeight w:val="326"/>
        </w:trPr>
        <w:tc>
          <w:tcPr>
            <w:tcW w:w="0" w:type="auto"/>
            <w:tcBorders>
              <w:top w:val="nil"/>
              <w:left w:val="nil"/>
              <w:bottom w:val="nil"/>
              <w:right w:val="nil"/>
            </w:tcBorders>
            <w:shd w:val="clear" w:color="auto" w:fill="FFFFFF"/>
            <w:vAlign w:val="bottom"/>
            <w:hideMark/>
          </w:tcPr>
          <w:p w:rsidR="00F31FF9" w:rsidRPr="00F31FF9" w:rsidRDefault="00F31FF9" w:rsidP="0084295E">
            <w:pPr>
              <w:spacing w:line="294" w:lineRule="atLeast"/>
              <w:rPr>
                <w:rFonts w:ascii="Times New Roman" w:hAnsi="Times New Roman"/>
                <w:color w:val="000000" w:themeColor="text1"/>
                <w:sz w:val="28"/>
                <w:szCs w:val="28"/>
              </w:rPr>
            </w:pPr>
            <w:r w:rsidRPr="00F31FF9">
              <w:rPr>
                <w:rFonts w:ascii="Times New Roman" w:hAnsi="Times New Roman"/>
                <w:color w:val="000000" w:themeColor="text1"/>
                <w:sz w:val="28"/>
                <w:szCs w:val="28"/>
              </w:rPr>
              <w:t>utazás betegség miatti lemondásához szükséges igazolás</w:t>
            </w:r>
          </w:p>
        </w:tc>
        <w:tc>
          <w:tcPr>
            <w:tcW w:w="730" w:type="dxa"/>
            <w:tcBorders>
              <w:top w:val="nil"/>
              <w:left w:val="nil"/>
              <w:bottom w:val="nil"/>
              <w:right w:val="nil"/>
            </w:tcBorders>
            <w:shd w:val="clear" w:color="auto" w:fill="FFFFFF"/>
          </w:tcPr>
          <w:p w:rsidR="00F31FF9" w:rsidRPr="00F31FF9" w:rsidRDefault="00F31FF9" w:rsidP="0084295E">
            <w:pPr>
              <w:spacing w:line="294" w:lineRule="atLeast"/>
              <w:jc w:val="right"/>
              <w:rPr>
                <w:rFonts w:ascii="Times New Roman" w:hAnsi="Times New Roman"/>
                <w:b/>
                <w:color w:val="000000" w:themeColor="text1"/>
                <w:sz w:val="28"/>
                <w:szCs w:val="28"/>
              </w:rPr>
            </w:pPr>
          </w:p>
        </w:tc>
        <w:tc>
          <w:tcPr>
            <w:tcW w:w="730" w:type="dxa"/>
            <w:tcBorders>
              <w:top w:val="nil"/>
              <w:left w:val="nil"/>
              <w:bottom w:val="nil"/>
              <w:right w:val="nil"/>
            </w:tcBorders>
            <w:shd w:val="clear" w:color="auto" w:fill="FFFFFF"/>
          </w:tcPr>
          <w:p w:rsidR="00F31FF9" w:rsidRPr="00F31FF9" w:rsidRDefault="00F31FF9" w:rsidP="0084295E">
            <w:pPr>
              <w:spacing w:line="294" w:lineRule="atLeast"/>
              <w:jc w:val="right"/>
              <w:rPr>
                <w:rFonts w:ascii="Times New Roman" w:hAnsi="Times New Roman"/>
                <w:b/>
                <w:color w:val="000000" w:themeColor="text1"/>
                <w:sz w:val="28"/>
                <w:szCs w:val="28"/>
              </w:rPr>
            </w:pPr>
          </w:p>
        </w:tc>
        <w:tc>
          <w:tcPr>
            <w:tcW w:w="20" w:type="dxa"/>
            <w:tcBorders>
              <w:top w:val="nil"/>
              <w:left w:val="nil"/>
              <w:bottom w:val="nil"/>
              <w:right w:val="nil"/>
            </w:tcBorders>
            <w:shd w:val="clear" w:color="auto" w:fill="FFFFFF"/>
          </w:tcPr>
          <w:p w:rsidR="00F31FF9" w:rsidRPr="00F31FF9" w:rsidRDefault="00F31FF9" w:rsidP="0084295E">
            <w:pPr>
              <w:spacing w:line="294" w:lineRule="atLeast"/>
              <w:jc w:val="right"/>
              <w:rPr>
                <w:rFonts w:ascii="Times New Roman" w:hAnsi="Times New Roman"/>
                <w:b/>
                <w:color w:val="000000" w:themeColor="text1"/>
                <w:sz w:val="28"/>
                <w:szCs w:val="28"/>
              </w:rPr>
            </w:pPr>
          </w:p>
        </w:tc>
        <w:tc>
          <w:tcPr>
            <w:tcW w:w="1440" w:type="dxa"/>
            <w:tcBorders>
              <w:top w:val="nil"/>
              <w:left w:val="nil"/>
              <w:bottom w:val="nil"/>
              <w:right w:val="nil"/>
            </w:tcBorders>
            <w:shd w:val="clear" w:color="auto" w:fill="FFFFFF"/>
            <w:vAlign w:val="bottom"/>
            <w:hideMark/>
          </w:tcPr>
          <w:p w:rsidR="00F31FF9" w:rsidRPr="00F31FF9" w:rsidRDefault="00F31FF9" w:rsidP="0084295E">
            <w:pPr>
              <w:spacing w:line="294" w:lineRule="atLeast"/>
              <w:rPr>
                <w:rFonts w:ascii="Times New Roman" w:hAnsi="Times New Roman"/>
                <w:b/>
                <w:color w:val="000000" w:themeColor="text1"/>
                <w:sz w:val="28"/>
                <w:szCs w:val="28"/>
              </w:rPr>
            </w:pPr>
            <w:r w:rsidRPr="00F31FF9">
              <w:rPr>
                <w:rFonts w:ascii="Times New Roman" w:hAnsi="Times New Roman"/>
                <w:b/>
                <w:color w:val="000000" w:themeColor="text1"/>
                <w:sz w:val="28"/>
                <w:szCs w:val="28"/>
              </w:rPr>
              <w:t>6000 Ft</w:t>
            </w:r>
          </w:p>
        </w:tc>
      </w:tr>
    </w:tbl>
    <w:p w:rsidR="00F31FF9" w:rsidRPr="00F31FF9" w:rsidRDefault="00F31FF9" w:rsidP="00F31FF9">
      <w:pPr>
        <w:widowControl w:val="0"/>
        <w:autoSpaceDE w:val="0"/>
        <w:autoSpaceDN w:val="0"/>
        <w:adjustRightInd w:val="0"/>
        <w:snapToGrid w:val="0"/>
        <w:spacing w:after="0" w:line="240" w:lineRule="auto"/>
        <w:jc w:val="both"/>
        <w:rPr>
          <w:rFonts w:ascii="Times New Roman" w:hAnsi="Times New Roman"/>
          <w:sz w:val="28"/>
          <w:szCs w:val="28"/>
        </w:rPr>
      </w:pPr>
    </w:p>
    <w:p w:rsidR="00F31FF9" w:rsidRPr="00F31FF9" w:rsidRDefault="00F31FF9" w:rsidP="00F31FF9">
      <w:pPr>
        <w:widowControl w:val="0"/>
        <w:autoSpaceDE w:val="0"/>
        <w:autoSpaceDN w:val="0"/>
        <w:adjustRightInd w:val="0"/>
        <w:snapToGrid w:val="0"/>
        <w:spacing w:after="0" w:line="240" w:lineRule="auto"/>
        <w:jc w:val="both"/>
        <w:rPr>
          <w:rFonts w:ascii="Times New Roman" w:hAnsi="Times New Roman"/>
          <w:b/>
          <w:sz w:val="28"/>
          <w:szCs w:val="28"/>
          <w:u w:val="single"/>
        </w:rPr>
      </w:pPr>
      <w:r w:rsidRPr="00F31FF9">
        <w:rPr>
          <w:rFonts w:ascii="Times New Roman" w:hAnsi="Times New Roman"/>
          <w:b/>
          <w:sz w:val="28"/>
          <w:szCs w:val="28"/>
          <w:u w:val="single"/>
        </w:rPr>
        <w:t xml:space="preserve">A MEG NEM FIZETETT TÉRÍTÉSI DÍJAK BEHAJTÁSA: </w:t>
      </w:r>
    </w:p>
    <w:p w:rsidR="00F31FF9" w:rsidRPr="00F31FF9" w:rsidRDefault="00F31FF9" w:rsidP="00F31FF9">
      <w:pPr>
        <w:widowControl w:val="0"/>
        <w:autoSpaceDE w:val="0"/>
        <w:autoSpaceDN w:val="0"/>
        <w:adjustRightInd w:val="0"/>
        <w:snapToGrid w:val="0"/>
        <w:spacing w:after="0" w:line="240" w:lineRule="auto"/>
        <w:jc w:val="both"/>
        <w:rPr>
          <w:rFonts w:ascii="Times New Roman" w:hAnsi="Times New Roman"/>
          <w:color w:val="000000"/>
          <w:sz w:val="28"/>
          <w:szCs w:val="28"/>
        </w:rPr>
      </w:pPr>
      <w:r w:rsidRPr="00F31FF9">
        <w:rPr>
          <w:rFonts w:ascii="Times New Roman" w:hAnsi="Times New Roman"/>
          <w:sz w:val="28"/>
          <w:szCs w:val="28"/>
        </w:rPr>
        <w:t xml:space="preserve">Amennyiben a szolgáltatást igénybevevő a térítési díjat </w:t>
      </w:r>
      <w:r w:rsidRPr="00F31FF9">
        <w:rPr>
          <w:rFonts w:ascii="Times New Roman" w:hAnsi="Times New Roman"/>
          <w:b/>
          <w:sz w:val="28"/>
          <w:szCs w:val="28"/>
        </w:rPr>
        <w:t>részben, vagy egészben nem fizeti meg</w:t>
      </w:r>
      <w:r w:rsidRPr="00F31FF9">
        <w:rPr>
          <w:rFonts w:ascii="Times New Roman" w:hAnsi="Times New Roman"/>
          <w:sz w:val="28"/>
          <w:szCs w:val="28"/>
        </w:rPr>
        <w:t xml:space="preserve">, a Kard Kft írásban felszólítja a fizetésre, ennek eredménytelensége esetén pedig az illetékes </w:t>
      </w:r>
      <w:r w:rsidRPr="00F31FF9">
        <w:rPr>
          <w:rFonts w:ascii="Times New Roman" w:hAnsi="Times New Roman"/>
          <w:b/>
          <w:sz w:val="28"/>
          <w:szCs w:val="28"/>
        </w:rPr>
        <w:t>bírósághoz fordul és fizetési meghagyásos eljárást kezdeményez</w:t>
      </w:r>
      <w:r w:rsidRPr="00F31FF9">
        <w:rPr>
          <w:rFonts w:ascii="Times New Roman" w:hAnsi="Times New Roman"/>
          <w:sz w:val="28"/>
          <w:szCs w:val="28"/>
        </w:rPr>
        <w:t xml:space="preserve">, illetve ha ez sem vezetne sikerre, </w:t>
      </w:r>
      <w:r w:rsidRPr="00F31FF9">
        <w:rPr>
          <w:rFonts w:ascii="Times New Roman" w:hAnsi="Times New Roman"/>
          <w:b/>
          <w:sz w:val="28"/>
          <w:szCs w:val="28"/>
        </w:rPr>
        <w:t>végrehajtási eljárást kezdeményez!</w:t>
      </w:r>
    </w:p>
    <w:p w:rsidR="0087270B" w:rsidRPr="00F31FF9" w:rsidRDefault="0087270B">
      <w:pPr>
        <w:rPr>
          <w:sz w:val="28"/>
          <w:szCs w:val="28"/>
        </w:rPr>
      </w:pPr>
    </w:p>
    <w:sectPr w:rsidR="0087270B" w:rsidRPr="00F31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F9"/>
    <w:rsid w:val="0087270B"/>
    <w:rsid w:val="00F31F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DAF5E-65E7-4627-9FD1-73E8F482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1FF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2233</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Ügyelet</dc:creator>
  <cp:keywords/>
  <dc:description/>
  <cp:lastModifiedBy>Ügyelet</cp:lastModifiedBy>
  <cp:revision>1</cp:revision>
  <dcterms:created xsi:type="dcterms:W3CDTF">2017-05-23T15:02:00Z</dcterms:created>
  <dcterms:modified xsi:type="dcterms:W3CDTF">2017-05-23T15:04:00Z</dcterms:modified>
</cp:coreProperties>
</file>